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Pr="00391F97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742130" w:rsidRDefault="0074213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Та</w:t>
      </w:r>
      <w:r w:rsidR="00B17149">
        <w:rPr>
          <w:rFonts w:ascii="Times New Roman" w:hAnsi="Times New Roman" w:cs="Times New Roman"/>
          <w:b/>
          <w:bCs/>
          <w:sz w:val="28"/>
          <w:szCs w:val="28"/>
        </w:rPr>
        <w:t>карликовский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742130" w:rsidRDefault="00B647CB" w:rsidP="00742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742130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:rsidR="00B647CB" w:rsidRPr="00391F97" w:rsidRDefault="00742130" w:rsidP="00742130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="00B647CB" w:rsidRPr="00391F97">
        <w:rPr>
          <w:szCs w:val="28"/>
        </w:rPr>
        <w:t>:</w:t>
      </w:r>
    </w:p>
    <w:p w:rsidR="00AE2BFD" w:rsidRPr="00742130" w:rsidRDefault="00920CB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сельском поселении Та</w:t>
      </w:r>
      <w:r w:rsidR="00DF545A">
        <w:rPr>
          <w:rFonts w:ascii="Times New Roman" w:hAnsi="Times New Roman" w:cs="Times New Roman"/>
          <w:sz w:val="28"/>
          <w:szCs w:val="28"/>
        </w:rPr>
        <w:t>карликовский</w:t>
      </w:r>
      <w:r w:rsid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742130" w:rsidRPr="00742130">
        <w:rPr>
          <w:rFonts w:ascii="Times New Roman" w:hAnsi="Times New Roman" w:cs="Times New Roman"/>
          <w:sz w:val="28"/>
          <w:szCs w:val="28"/>
        </w:rPr>
        <w:t>Дюртюлинский район Республики Башкортостан.</w:t>
      </w: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 xml:space="preserve">2. 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главы сельского поселения </w:t>
      </w:r>
      <w:r w:rsidR="00DF545A">
        <w:rPr>
          <w:rFonts w:ascii="Times New Roman" w:hAnsi="Times New Roman" w:cs="Times New Roman"/>
          <w:bCs/>
          <w:sz w:val="28"/>
          <w:szCs w:val="28"/>
        </w:rPr>
        <w:t>Такарликовский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Дюртюлинский рай</w:t>
      </w:r>
      <w:r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="00461E00">
        <w:rPr>
          <w:rFonts w:ascii="Times New Roman" w:hAnsi="Times New Roman" w:cs="Times New Roman"/>
          <w:bCs/>
          <w:sz w:val="28"/>
          <w:szCs w:val="28"/>
        </w:rPr>
        <w:t>Республики Башкортостан от 29.12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.2018. № 12/</w:t>
      </w:r>
      <w:r w:rsidR="0060610D">
        <w:rPr>
          <w:rFonts w:ascii="Times New Roman" w:hAnsi="Times New Roman" w:cs="Times New Roman"/>
          <w:bCs/>
          <w:sz w:val="28"/>
          <w:szCs w:val="28"/>
        </w:rPr>
        <w:t>51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421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42130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Pr="00742130">
        <w:rPr>
          <w:rFonts w:ascii="Times New Roman" w:hAnsi="Times New Roman" w:cs="Times New Roman"/>
          <w:bCs/>
          <w:sz w:val="28"/>
          <w:szCs w:val="28"/>
        </w:rPr>
        <w:t>» в сельском поселении Та</w:t>
      </w:r>
      <w:r w:rsidR="0060610D">
        <w:rPr>
          <w:rFonts w:ascii="Times New Roman" w:hAnsi="Times New Roman" w:cs="Times New Roman"/>
          <w:bCs/>
          <w:sz w:val="28"/>
          <w:szCs w:val="28"/>
        </w:rPr>
        <w:t>карликовский</w:t>
      </w:r>
      <w:r w:rsidRPr="0074213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</w:t>
      </w:r>
      <w:r w:rsidR="0060610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42130">
        <w:rPr>
          <w:rFonts w:ascii="Times New Roman" w:hAnsi="Times New Roman" w:cs="Times New Roman"/>
          <w:bCs/>
          <w:sz w:val="28"/>
          <w:szCs w:val="28"/>
        </w:rPr>
        <w:t>Дюртюлинский район Республики Башкортостан».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742130" w:rsidRPr="00742130" w:rsidRDefault="00742130" w:rsidP="00742130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4. Настоящее постановление обнародовать на информационном стенде в здании администрации сельского поселения Та</w:t>
      </w:r>
      <w:r w:rsidR="0060610D">
        <w:rPr>
          <w:rFonts w:ascii="Times New Roman" w:hAnsi="Times New Roman" w:cs="Times New Roman"/>
          <w:sz w:val="28"/>
          <w:szCs w:val="28"/>
        </w:rPr>
        <w:t>карликовский</w:t>
      </w:r>
      <w:r w:rsidRPr="007421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с.</w:t>
      </w:r>
      <w:r w:rsidR="0060610D">
        <w:rPr>
          <w:rFonts w:ascii="Times New Roman" w:hAnsi="Times New Roman" w:cs="Times New Roman"/>
          <w:sz w:val="28"/>
          <w:szCs w:val="28"/>
        </w:rPr>
        <w:t xml:space="preserve"> Иванаево</w:t>
      </w:r>
      <w:r w:rsidRPr="00742130">
        <w:rPr>
          <w:rFonts w:ascii="Times New Roman" w:hAnsi="Times New Roman" w:cs="Times New Roman"/>
          <w:sz w:val="28"/>
          <w:szCs w:val="28"/>
        </w:rPr>
        <w:t>, ул.</w:t>
      </w:r>
      <w:r w:rsidR="0060610D">
        <w:rPr>
          <w:rFonts w:ascii="Times New Roman" w:hAnsi="Times New Roman" w:cs="Times New Roman"/>
          <w:sz w:val="28"/>
          <w:szCs w:val="28"/>
        </w:rPr>
        <w:t xml:space="preserve"> Комсомольская, 3</w:t>
      </w:r>
      <w:r w:rsidRPr="00742130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"Интернет".</w:t>
      </w:r>
    </w:p>
    <w:p w:rsidR="00742130" w:rsidRPr="00742130" w:rsidRDefault="00742130" w:rsidP="007421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30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 оставляю за собой.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10D" w:rsidRDefault="0060610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130" w:rsidRP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30">
        <w:rPr>
          <w:rFonts w:ascii="Times New Roman" w:hAnsi="Times New Roman" w:cs="Times New Roman"/>
          <w:b/>
          <w:sz w:val="28"/>
          <w:szCs w:val="28"/>
        </w:rPr>
        <w:t xml:space="preserve">И.о. главы администрации, </w:t>
      </w:r>
    </w:p>
    <w:p w:rsidR="00742130" w:rsidRPr="00742130" w:rsidRDefault="0060610D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                                                            Р.Р. Садиков</w:t>
      </w:r>
    </w:p>
    <w:p w:rsidR="00742130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742130" w:rsidRPr="00391F97" w:rsidRDefault="00742130" w:rsidP="0074213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0D" w:rsidRDefault="0060610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610D" w:rsidRPr="00391F97" w:rsidRDefault="0060610D" w:rsidP="0074213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742130" w:rsidRDefault="00742130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УТВЕРЖДЕН</w:t>
      </w:r>
    </w:p>
    <w:p w:rsidR="00CC2196" w:rsidRPr="00742130" w:rsidRDefault="00203556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п</w:t>
      </w:r>
      <w:r w:rsidR="00AE2BFD" w:rsidRPr="00742130">
        <w:rPr>
          <w:rFonts w:ascii="Times New Roman" w:hAnsi="Times New Roman" w:cs="Times New Roman"/>
          <w:sz w:val="24"/>
          <w:szCs w:val="24"/>
        </w:rPr>
        <w:t>остановлением</w:t>
      </w:r>
      <w:r w:rsidR="00DF545A">
        <w:rPr>
          <w:rFonts w:ascii="Times New Roman" w:hAnsi="Times New Roman" w:cs="Times New Roman"/>
          <w:sz w:val="24"/>
          <w:szCs w:val="24"/>
        </w:rPr>
        <w:t xml:space="preserve"> </w:t>
      </w:r>
      <w:r w:rsidR="00742130" w:rsidRPr="00742130"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F545A">
        <w:rPr>
          <w:rFonts w:ascii="Times New Roman" w:hAnsi="Times New Roman" w:cs="Times New Roman"/>
          <w:sz w:val="24"/>
          <w:szCs w:val="24"/>
        </w:rPr>
        <w:t>Такарликовский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742130" w:rsidRPr="00742130" w:rsidRDefault="00742130" w:rsidP="0074213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Дюртюлинский район Республики Башкортостан</w:t>
      </w:r>
    </w:p>
    <w:p w:rsidR="00AE2BFD" w:rsidRPr="00742130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42130">
        <w:rPr>
          <w:rFonts w:ascii="Times New Roman" w:hAnsi="Times New Roman" w:cs="Times New Roman"/>
          <w:sz w:val="24"/>
          <w:szCs w:val="24"/>
        </w:rPr>
        <w:t>от ____________20___</w:t>
      </w:r>
      <w:r w:rsidR="00AE2BFD" w:rsidRPr="0074213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742130">
        <w:rPr>
          <w:rFonts w:ascii="Times New Roman" w:hAnsi="Times New Roman" w:cs="Times New Roman"/>
          <w:sz w:val="24"/>
          <w:szCs w:val="24"/>
        </w:rPr>
        <w:t>_</w:t>
      </w:r>
      <w:r w:rsidR="00AE2BFD" w:rsidRPr="0074213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742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F545A">
        <w:rPr>
          <w:rFonts w:ascii="Times New Roman" w:hAnsi="Times New Roman" w:cs="Times New Roman"/>
          <w:b/>
          <w:bCs/>
          <w:sz w:val="28"/>
          <w:szCs w:val="28"/>
        </w:rPr>
        <w:t>Такарликовский</w:t>
      </w:r>
      <w:r w:rsidR="007421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Дюртюлинский район Республики Башкортостан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DF545A">
        <w:rPr>
          <w:rFonts w:ascii="Times New Roman" w:eastAsia="Calibri" w:hAnsi="Times New Roman" w:cs="Times New Roman"/>
          <w:sz w:val="28"/>
          <w:szCs w:val="28"/>
        </w:rPr>
        <w:t>Такарликовский</w:t>
      </w:r>
      <w:r w:rsidR="007421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r w:rsidR="00742130">
        <w:rPr>
          <w:rFonts w:ascii="Times New Roman" w:eastAsia="Calibri" w:hAnsi="Times New Roman" w:cs="Times New Roman"/>
          <w:sz w:val="28"/>
          <w:szCs w:val="28"/>
        </w:rPr>
        <w:lastRenderedPageBreak/>
        <w:t>Дюртюлинский район Республики Башкортостан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461E00" w:rsidRDefault="00075CA8" w:rsidP="00461E0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E00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461E00">
        <w:rPr>
          <w:rFonts w:ascii="Times New Roman" w:hAnsi="Times New Roman" w:cs="Times New Roman"/>
          <w:sz w:val="28"/>
          <w:szCs w:val="28"/>
        </w:rPr>
        <w:t>ом</w:t>
      </w:r>
      <w:r w:rsidRPr="00461E0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461E00">
        <w:rPr>
          <w:rFonts w:ascii="Times New Roman" w:hAnsi="Times New Roman" w:cs="Times New Roman"/>
          <w:sz w:val="28"/>
          <w:szCs w:val="28"/>
        </w:rPr>
        <w:t>е</w:t>
      </w:r>
      <w:r w:rsid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461E00">
        <w:rPr>
          <w:rFonts w:ascii="Times New Roman" w:hAnsi="Times New Roman" w:cs="Times New Roman"/>
          <w:sz w:val="28"/>
          <w:szCs w:val="28"/>
        </w:rPr>
        <w:t>Администрации</w:t>
      </w:r>
      <w:r w:rsidR="00461E00" w:rsidRPr="00461E0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="00DF545A" w:rsidRPr="00B563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http://ta</w:t>
        </w:r>
        <w:r w:rsidR="00DF545A" w:rsidRPr="00B563D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karlik</w:t>
        </w:r>
        <w:r w:rsidR="00DF545A" w:rsidRPr="00B563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36282@</w:t>
        </w:r>
        <w:r w:rsidR="00DF545A" w:rsidRPr="00B563D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DF545A" w:rsidRPr="00B563D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461E00">
        <w:rPr>
          <w:rFonts w:ascii="Times New Roman" w:hAnsi="Times New Roman" w:cs="Times New Roman"/>
          <w:b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391F97" w:rsidRDefault="00322166" w:rsidP="00461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DF545A">
        <w:rPr>
          <w:rFonts w:ascii="Times New Roman" w:eastAsia="Calibri" w:hAnsi="Times New Roman" w:cs="Times New Roman"/>
          <w:sz w:val="28"/>
          <w:szCs w:val="28"/>
        </w:rPr>
        <w:t>Такарликовский</w:t>
      </w:r>
      <w:r w:rsidR="00461E0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</w:t>
      </w:r>
      <w:r w:rsidR="006071C3" w:rsidRPr="00391F97">
        <w:rPr>
          <w:rFonts w:ascii="Times New Roman" w:hAnsi="Times New Roman" w:cs="Times New Roman"/>
          <w:sz w:val="28"/>
          <w:szCs w:val="28"/>
        </w:rPr>
        <w:lastRenderedPageBreak/>
        <w:t>строительные коо</w:t>
      </w:r>
      <w:r w:rsidR="00461E00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F545A">
        <w:rPr>
          <w:rFonts w:ascii="Times New Roman" w:hAnsi="Times New Roman" w:cs="Times New Roman"/>
          <w:sz w:val="28"/>
          <w:szCs w:val="28"/>
        </w:rPr>
        <w:t>–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lastRenderedPageBreak/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DF545A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DF545A" w:rsidRPr="00DF545A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DF545A" w:rsidRPr="00DF545A">
        <w:rPr>
          <w:rFonts w:ascii="Times New Roman" w:hAnsi="Times New Roman" w:cs="Times New Roman"/>
          <w:sz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DF545A" w:rsidRPr="00DF545A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DF545A" w:rsidRPr="00DF545A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="00DF545A" w:rsidRPr="00DF545A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91F97">
        <w:rPr>
          <w:rFonts w:ascii="Times New Roman" w:hAnsi="Times New Roman" w:cs="Times New Roman"/>
          <w:sz w:val="28"/>
          <w:szCs w:val="28"/>
        </w:rPr>
        <w:t>2.9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91F97">
        <w:rPr>
          <w:rFonts w:ascii="Times New Roman" w:hAnsi="Times New Roman" w:cs="Times New Roman"/>
          <w:sz w:val="28"/>
          <w:szCs w:val="28"/>
        </w:rPr>
        <w:t>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DF545A" w:rsidRPr="00DF545A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DF545A" w:rsidRPr="00DF545A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DF545A" w:rsidRPr="00DF545A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2пункта 2.8настоящего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DF545A" w:rsidRPr="00DF545A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1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аявителей, в том числе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осуществляет </w:t>
      </w:r>
      <w:r w:rsidRPr="00391F97">
        <w:rPr>
          <w:rFonts w:ascii="Times New Roman" w:hAnsi="Times New Roman"/>
          <w:sz w:val="28"/>
          <w:szCs w:val="28"/>
        </w:rPr>
        <w:lastRenderedPageBreak/>
        <w:t>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</w:t>
      </w:r>
      <w:r w:rsidR="00DF545A" w:rsidRPr="00DF545A">
        <w:rPr>
          <w:rFonts w:ascii="Times New Roman" w:hAnsi="Times New Roman"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 xml:space="preserve"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</w:t>
      </w:r>
      <w:r w:rsidR="00DF4D8A" w:rsidRPr="00DF4D8A">
        <w:rPr>
          <w:rFonts w:ascii="Times New Roman" w:hAnsi="Times New Roman"/>
          <w:sz w:val="28"/>
          <w:szCs w:val="28"/>
        </w:rPr>
        <w:lastRenderedPageBreak/>
        <w:t>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2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</w:t>
      </w:r>
      <w:r w:rsidR="005C7CA5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ответов на межведомственные запросы, в случае отсутствия оснований, указанных в пункте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 xml:space="preserve">в соответствии стребованиями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D26899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DF545A" w:rsidRPr="00DF545A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DF545A" w:rsidRPr="00DF545A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6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DF545A" w:rsidRPr="00DF5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9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DF545A" w:rsidRPr="00DF54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5.10. Не позднее дня, следующего за днем принятия решения, указанного в </w:t>
      </w:r>
      <w:hyperlink r:id="rId22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="00DF545A" w:rsidRPr="00DF545A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3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F545A" w:rsidRPr="00FB64C2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осуществляющие функции по предоставлению государственных или муниципальных услуг, предусмотренные </w:t>
      </w:r>
      <w:hyperlink r:id="rId26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7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64C2" w:rsidRPr="00FB64C2" w:rsidRDefault="00FB64C2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E00" w:rsidRPr="00391F97" w:rsidRDefault="00461E00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609"/>
        <w:gridCol w:w="2403"/>
        <w:gridCol w:w="2409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422"/>
        <w:gridCol w:w="3201"/>
        <w:gridCol w:w="3389"/>
        <w:gridCol w:w="2409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74"/>
        <w:gridCol w:w="7780"/>
        <w:gridCol w:w="1667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556"/>
        <w:gridCol w:w="4865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752"/>
        <w:gridCol w:w="4862"/>
        <w:gridCol w:w="1807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E00" w:rsidRPr="00391F97" w:rsidRDefault="00461E00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742130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8D" w:rsidRDefault="0022358D">
      <w:pPr>
        <w:spacing w:after="0" w:line="240" w:lineRule="auto"/>
      </w:pPr>
      <w:r>
        <w:separator/>
      </w:r>
    </w:p>
  </w:endnote>
  <w:endnote w:type="continuationSeparator" w:id="1">
    <w:p w:rsidR="0022358D" w:rsidRDefault="0022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8D" w:rsidRDefault="0022358D">
      <w:pPr>
        <w:spacing w:after="0" w:line="240" w:lineRule="auto"/>
      </w:pPr>
      <w:r>
        <w:separator/>
      </w:r>
    </w:p>
  </w:footnote>
  <w:footnote w:type="continuationSeparator" w:id="1">
    <w:p w:rsidR="0022358D" w:rsidRDefault="0022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DF545A" w:rsidRDefault="00DF545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64C2">
          <w:rPr>
            <w:rFonts w:ascii="Times New Roman" w:hAnsi="Times New Roman" w:cs="Times New Roman"/>
            <w:noProof/>
            <w:sz w:val="24"/>
            <w:szCs w:val="24"/>
          </w:rPr>
          <w:t>55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45A" w:rsidRDefault="00DF54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7E6"/>
    <w:rsid w:val="00217E0D"/>
    <w:rsid w:val="00221980"/>
    <w:rsid w:val="00221A79"/>
    <w:rsid w:val="0022358D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167E2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1E00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10D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2130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02E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4AC4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17149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899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545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2EAB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B64C2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arlik36282@mail.ru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513810C64E03C96FA4C8691AFDD0FD15E073796A6A07712B9F6C8571C69BFE2F187AE527FAD4DBBAmBL2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https://do.gosuslugi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4717AEF4018FBC54F3DF67D3384C2E17F7240D32860EE32544277844As4KA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314C-5A15-4B66-A6AA-268B77D7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19901</Words>
  <Characters>113439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11</cp:revision>
  <cp:lastPrinted>2020-01-13T09:49:00Z</cp:lastPrinted>
  <dcterms:created xsi:type="dcterms:W3CDTF">2019-11-21T10:33:00Z</dcterms:created>
  <dcterms:modified xsi:type="dcterms:W3CDTF">2020-01-14T04:52:00Z</dcterms:modified>
</cp:coreProperties>
</file>